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1D7" w:rsidRPr="00EB55CF" w:rsidRDefault="005951D7" w:rsidP="00EB55CF">
      <w:pPr>
        <w:spacing w:after="105" w:line="750" w:lineRule="atLeast"/>
        <w:ind w:firstLine="284"/>
        <w:jc w:val="center"/>
        <w:outlineLvl w:val="0"/>
        <w:rPr>
          <w:rFonts w:ascii="Arial" w:eastAsia="Times New Roman" w:hAnsi="Arial" w:cs="Arial"/>
          <w:b/>
          <w:bCs/>
          <w:color w:val="111111"/>
          <w:kern w:val="36"/>
          <w:sz w:val="36"/>
          <w:szCs w:val="36"/>
          <w:lang w:eastAsia="ru-RU"/>
        </w:rPr>
      </w:pPr>
      <w:r w:rsidRPr="00EB55CF">
        <w:rPr>
          <w:rFonts w:ascii="Arial" w:eastAsia="Times New Roman" w:hAnsi="Arial" w:cs="Arial"/>
          <w:b/>
          <w:bCs/>
          <w:color w:val="111111"/>
          <w:kern w:val="36"/>
          <w:sz w:val="36"/>
          <w:szCs w:val="36"/>
          <w:lang w:eastAsia="ru-RU"/>
        </w:rPr>
        <w:t>Законы эволюции универсальны</w:t>
      </w:r>
    </w:p>
    <w:p w:rsidR="005951D7" w:rsidRDefault="005951D7" w:rsidP="00EB55CF">
      <w:pPr>
        <w:spacing w:after="105" w:line="750" w:lineRule="atLeast"/>
        <w:ind w:firstLine="284"/>
        <w:jc w:val="both"/>
        <w:outlineLvl w:val="0"/>
        <w:rPr>
          <w:rFonts w:ascii="Arial" w:eastAsia="Times New Roman" w:hAnsi="Arial" w:cs="Arial"/>
          <w:b/>
          <w:bCs/>
          <w:color w:val="111111"/>
          <w:kern w:val="36"/>
          <w:sz w:val="60"/>
          <w:szCs w:val="60"/>
          <w:lang w:eastAsia="ru-RU"/>
        </w:rPr>
      </w:pPr>
    </w:p>
    <w:p w:rsidR="005951D7" w:rsidRPr="005951D7" w:rsidRDefault="005951D7" w:rsidP="00EB55CF">
      <w:pPr>
        <w:spacing w:after="0" w:line="240" w:lineRule="auto"/>
        <w:ind w:firstLine="284"/>
        <w:jc w:val="both"/>
        <w:rPr>
          <w:rFonts w:ascii="Times New Roman" w:eastAsia="Times New Roman" w:hAnsi="Times New Roman" w:cs="Times New Roman"/>
          <w:sz w:val="24"/>
          <w:szCs w:val="24"/>
          <w:lang w:eastAsia="ru-RU"/>
        </w:rPr>
      </w:pPr>
      <w:r w:rsidRPr="005951D7">
        <w:rPr>
          <w:rFonts w:ascii="Times New Roman" w:eastAsia="Times New Roman" w:hAnsi="Times New Roman" w:cs="Times New Roman"/>
          <w:b/>
          <w:bCs/>
          <w:i/>
          <w:iCs/>
          <w:sz w:val="24"/>
          <w:szCs w:val="24"/>
          <w:lang w:eastAsia="ru-RU"/>
        </w:rPr>
        <w:t>Александр ЩЕРБАКОВ</w:t>
      </w:r>
      <w:r w:rsidRPr="005951D7">
        <w:rPr>
          <w:rFonts w:ascii="Times New Roman" w:eastAsia="Times New Roman" w:hAnsi="Times New Roman" w:cs="Times New Roman"/>
          <w:i/>
          <w:iCs/>
          <w:sz w:val="24"/>
          <w:szCs w:val="24"/>
          <w:lang w:eastAsia="ru-RU"/>
        </w:rPr>
        <w:t>, кандидат</w:t>
      </w:r>
    </w:p>
    <w:p w:rsidR="005951D7" w:rsidRPr="005951D7" w:rsidRDefault="005951D7" w:rsidP="00EB55CF">
      <w:pPr>
        <w:spacing w:after="390" w:line="240" w:lineRule="auto"/>
        <w:ind w:firstLine="284"/>
        <w:jc w:val="both"/>
        <w:rPr>
          <w:rFonts w:ascii="Arial" w:eastAsia="Times New Roman" w:hAnsi="Arial" w:cs="Arial"/>
          <w:b/>
          <w:bCs/>
          <w:color w:val="111111"/>
          <w:kern w:val="36"/>
          <w:sz w:val="60"/>
          <w:szCs w:val="60"/>
          <w:lang w:eastAsia="ru-RU"/>
        </w:rPr>
      </w:pPr>
      <w:r w:rsidRPr="005951D7">
        <w:rPr>
          <w:rFonts w:ascii="Times New Roman" w:eastAsia="Times New Roman" w:hAnsi="Times New Roman" w:cs="Times New Roman"/>
          <w:i/>
          <w:iCs/>
          <w:color w:val="333333"/>
          <w:sz w:val="23"/>
          <w:szCs w:val="23"/>
          <w:lang w:eastAsia="ru-RU"/>
        </w:rPr>
        <w:t>физико-математических наук</w:t>
      </w:r>
    </w:p>
    <w:p w:rsidR="005951D7" w:rsidRPr="005951D7" w:rsidRDefault="005951D7" w:rsidP="00EB55CF">
      <w:pPr>
        <w:spacing w:line="240" w:lineRule="auto"/>
        <w:ind w:firstLine="284"/>
        <w:jc w:val="both"/>
        <w:rPr>
          <w:rFonts w:ascii="Arial" w:eastAsia="Times New Roman" w:hAnsi="Arial" w:cs="Arial"/>
          <w:color w:val="000000"/>
          <w:sz w:val="17"/>
          <w:szCs w:val="17"/>
          <w:lang w:eastAsia="ru-RU"/>
        </w:rPr>
      </w:pP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b/>
          <w:bCs/>
          <w:color w:val="333333"/>
          <w:sz w:val="23"/>
          <w:szCs w:val="23"/>
          <w:lang w:eastAsia="ru-RU"/>
        </w:rPr>
        <w:t xml:space="preserve">В данной статье приводится сопоставление теории решения изобретательских задач (ТРИЗ), которая была разработана талантливым Генрихом </w:t>
      </w:r>
      <w:proofErr w:type="spellStart"/>
      <w:r w:rsidRPr="005951D7">
        <w:rPr>
          <w:rFonts w:ascii="Verdana" w:eastAsia="Times New Roman" w:hAnsi="Verdana" w:cs="Times New Roman"/>
          <w:b/>
          <w:bCs/>
          <w:color w:val="333333"/>
          <w:sz w:val="23"/>
          <w:szCs w:val="23"/>
          <w:lang w:eastAsia="ru-RU"/>
        </w:rPr>
        <w:t>Сауловичем</w:t>
      </w:r>
      <w:proofErr w:type="spellEnd"/>
      <w:r w:rsidRPr="005951D7">
        <w:rPr>
          <w:rFonts w:ascii="Verdana" w:eastAsia="Times New Roman" w:hAnsi="Verdana" w:cs="Times New Roman"/>
          <w:b/>
          <w:bCs/>
          <w:color w:val="333333"/>
          <w:sz w:val="23"/>
          <w:szCs w:val="23"/>
          <w:lang w:eastAsia="ru-RU"/>
        </w:rPr>
        <w:t xml:space="preserve"> </w:t>
      </w:r>
      <w:proofErr w:type="spellStart"/>
      <w:r w:rsidRPr="005951D7">
        <w:rPr>
          <w:rFonts w:ascii="Verdana" w:eastAsia="Times New Roman" w:hAnsi="Verdana" w:cs="Times New Roman"/>
          <w:b/>
          <w:bCs/>
          <w:color w:val="333333"/>
          <w:sz w:val="23"/>
          <w:szCs w:val="23"/>
          <w:lang w:eastAsia="ru-RU"/>
        </w:rPr>
        <w:t>Альтшуллером</w:t>
      </w:r>
      <w:proofErr w:type="spellEnd"/>
      <w:r w:rsidRPr="005951D7">
        <w:rPr>
          <w:rFonts w:ascii="Verdana" w:eastAsia="Times New Roman" w:hAnsi="Verdana" w:cs="Times New Roman"/>
          <w:b/>
          <w:bCs/>
          <w:color w:val="333333"/>
          <w:sz w:val="23"/>
          <w:szCs w:val="23"/>
          <w:lang w:eastAsia="ru-RU"/>
        </w:rPr>
        <w:t xml:space="preserve"> в конце прошлого века, с системными канонами (фундаментальными, неизменными законами) Космоса (Пространства), описанными в книгах из серии «Откровения людям нового века. Толкования Откровений», записанных доктором технических наук, профессором Леонидом Ивановичем Масловым.</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Примечательно то, что изложенный комплекс канонов Космоса, несмотря на некоторые отличия формулировок и структуры связей, имеет стопроцентную согласованность с ТРИЗ.</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Рассмотрим подробнее каноны эволюционного процесса.</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Космос является энергетической системой, основой функционирования и развития которой является энергоинформационный обмен. Согласно </w:t>
      </w:r>
      <w:r w:rsidRPr="005951D7">
        <w:rPr>
          <w:rFonts w:ascii="Verdana" w:eastAsia="Times New Roman" w:hAnsi="Verdana" w:cs="Times New Roman"/>
          <w:b/>
          <w:bCs/>
          <w:i/>
          <w:iCs/>
          <w:color w:val="333333"/>
          <w:sz w:val="23"/>
          <w:szCs w:val="23"/>
          <w:lang w:eastAsia="ru-RU"/>
        </w:rPr>
        <w:t>Канону фрактального подобия</w:t>
      </w:r>
      <w:r w:rsidRPr="005951D7">
        <w:rPr>
          <w:rFonts w:ascii="Verdana" w:eastAsia="Times New Roman" w:hAnsi="Verdana" w:cs="Times New Roman"/>
          <w:color w:val="333333"/>
          <w:sz w:val="23"/>
          <w:szCs w:val="23"/>
          <w:lang w:eastAsia="ru-RU"/>
        </w:rPr>
        <w:t>, эта система состоит из элементов (энергий), которые по принципам строения и функционирования подобны самой системе. Согласно </w:t>
      </w:r>
      <w:r w:rsidRPr="005951D7">
        <w:rPr>
          <w:rFonts w:ascii="Verdana" w:eastAsia="Times New Roman" w:hAnsi="Verdana" w:cs="Times New Roman"/>
          <w:b/>
          <w:bCs/>
          <w:i/>
          <w:iCs/>
          <w:color w:val="333333"/>
          <w:sz w:val="23"/>
          <w:szCs w:val="23"/>
          <w:lang w:eastAsia="ru-RU"/>
        </w:rPr>
        <w:t>Канону постоянства процесса эволюции</w:t>
      </w:r>
      <w:r w:rsidRPr="005951D7">
        <w:rPr>
          <w:rFonts w:ascii="Verdana" w:eastAsia="Times New Roman" w:hAnsi="Verdana" w:cs="Times New Roman"/>
          <w:color w:val="333333"/>
          <w:sz w:val="23"/>
          <w:szCs w:val="23"/>
          <w:lang w:eastAsia="ru-RU"/>
        </w:rPr>
        <w:t>, система (или Космос) и все ее частицы (фракталы) находятся в процессе постоянного совершенствования, который определяется принципом высшей (максимальной) целесообразности. Отказом от эволюции частица сама вычеркивает себя из общего процесса эволюции пространства.</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Вершиной эволюции системы является энергетическая нейтральность, достигаемая за счет энергообмена. Состояние нейтральности соответствует минимальному напряжению сил и энергий в системе. При достижении пика нейтральности и высвобождении энергии происходит перестройка системы (фрактала) и ее переход на более высокие резонансные частоты и уровни энергии, поскольку энергия прямо пропорциональна частоте.</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Согласно </w:t>
      </w:r>
      <w:r w:rsidRPr="005951D7">
        <w:rPr>
          <w:rFonts w:ascii="Verdana" w:eastAsia="Times New Roman" w:hAnsi="Verdana" w:cs="Times New Roman"/>
          <w:b/>
          <w:bCs/>
          <w:i/>
          <w:iCs/>
          <w:color w:val="333333"/>
          <w:sz w:val="23"/>
          <w:szCs w:val="23"/>
          <w:lang w:eastAsia="ru-RU"/>
        </w:rPr>
        <w:t>Канону энергообмена</w:t>
      </w:r>
      <w:r w:rsidRPr="005951D7">
        <w:rPr>
          <w:rFonts w:ascii="Verdana" w:eastAsia="Times New Roman" w:hAnsi="Verdana" w:cs="Times New Roman"/>
          <w:color w:val="333333"/>
          <w:sz w:val="23"/>
          <w:szCs w:val="23"/>
          <w:lang w:eastAsia="ru-RU"/>
        </w:rPr>
        <w:t>, в системе происходит постоянный согласованный (когерентный) взаимодополняющий энергообмен между частицами (энергиями) фрактала. Важную роль при этом играют согласованность частот, резонанс и когерентность энергообмена. Процессы эволюции и энергообмена на всех фрактальных уровнях подчиняются общим ритмам. Канон энергообмена указывает еще и на равенство энергий, принимаемых и отдаваемых элементами, фракталами и уровнями.</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b/>
          <w:bCs/>
          <w:i/>
          <w:iCs/>
          <w:color w:val="333333"/>
          <w:sz w:val="23"/>
          <w:szCs w:val="23"/>
          <w:lang w:eastAsia="ru-RU"/>
        </w:rPr>
        <w:lastRenderedPageBreak/>
        <w:t xml:space="preserve">Канон </w:t>
      </w:r>
      <w:proofErr w:type="spellStart"/>
      <w:r w:rsidRPr="005951D7">
        <w:rPr>
          <w:rFonts w:ascii="Verdana" w:eastAsia="Times New Roman" w:hAnsi="Verdana" w:cs="Times New Roman"/>
          <w:b/>
          <w:bCs/>
          <w:i/>
          <w:iCs/>
          <w:color w:val="333333"/>
          <w:sz w:val="23"/>
          <w:szCs w:val="23"/>
          <w:lang w:eastAsia="ru-RU"/>
        </w:rPr>
        <w:t>комплементарности</w:t>
      </w:r>
      <w:proofErr w:type="spellEnd"/>
      <w:r w:rsidRPr="005951D7">
        <w:rPr>
          <w:rFonts w:ascii="Verdana" w:eastAsia="Times New Roman" w:hAnsi="Verdana" w:cs="Times New Roman"/>
          <w:color w:val="333333"/>
          <w:sz w:val="23"/>
          <w:szCs w:val="23"/>
          <w:lang w:eastAsia="ru-RU"/>
        </w:rPr>
        <w:t xml:space="preserve"> (дополнительности) определяет принцип </w:t>
      </w:r>
      <w:proofErr w:type="spellStart"/>
      <w:r w:rsidRPr="005951D7">
        <w:rPr>
          <w:rFonts w:ascii="Verdana" w:eastAsia="Times New Roman" w:hAnsi="Verdana" w:cs="Times New Roman"/>
          <w:color w:val="333333"/>
          <w:sz w:val="23"/>
          <w:szCs w:val="23"/>
          <w:lang w:eastAsia="ru-RU"/>
        </w:rPr>
        <w:t>взаимодополнения</w:t>
      </w:r>
      <w:proofErr w:type="spellEnd"/>
      <w:r w:rsidRPr="005951D7">
        <w:rPr>
          <w:rFonts w:ascii="Verdana" w:eastAsia="Times New Roman" w:hAnsi="Verdana" w:cs="Times New Roman"/>
          <w:color w:val="333333"/>
          <w:sz w:val="23"/>
          <w:szCs w:val="23"/>
          <w:lang w:eastAsia="ru-RU"/>
        </w:rPr>
        <w:t xml:space="preserve"> и уравновешивания двух или нескольких энергий с разнообразием или противоположностью характеристик, траекторий или знаков. Канон включает также полноту набора функций элементов в математическом смысле, как частный случай. С единством, уравновешиванием и гармонией волновых потоков противоположного знака связан и </w:t>
      </w:r>
      <w:r w:rsidRPr="005951D7">
        <w:rPr>
          <w:rFonts w:ascii="Verdana" w:eastAsia="Times New Roman" w:hAnsi="Verdana" w:cs="Times New Roman"/>
          <w:b/>
          <w:bCs/>
          <w:i/>
          <w:iCs/>
          <w:color w:val="333333"/>
          <w:sz w:val="23"/>
          <w:szCs w:val="23"/>
          <w:lang w:eastAsia="ru-RU"/>
        </w:rPr>
        <w:t>Канон единства и борьбы противоположностей</w:t>
      </w:r>
      <w:r w:rsidRPr="005951D7">
        <w:rPr>
          <w:rFonts w:ascii="Verdana" w:eastAsia="Times New Roman" w:hAnsi="Verdana" w:cs="Times New Roman"/>
          <w:color w:val="333333"/>
          <w:sz w:val="23"/>
          <w:szCs w:val="23"/>
          <w:lang w:eastAsia="ru-RU"/>
        </w:rPr>
        <w:t>, играющий важную роль в эволюционном процессе.</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Эволюция характеризуется также образованием кластеров (объединений), которые, в свою очередь, соединяются в более сложные образования (фракталы). Резонансные кластеры есть по существу участки (области) пространства, гармонизированные по частоте колебаний. Для образующихся кластеров характерно фрактальное подобие, как единство законов функционирования на всех уровнях. Фракталы (кластеры) элементов противоположных знаков лежат также в основе строения космического вакуума, который является основой проявления различных форм энергии, включая материю.</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Согласно</w:t>
      </w:r>
      <w:r w:rsidR="00EB55CF">
        <w:rPr>
          <w:rFonts w:ascii="Verdana" w:eastAsia="Times New Roman" w:hAnsi="Verdana" w:cs="Times New Roman"/>
          <w:color w:val="333333"/>
          <w:sz w:val="23"/>
          <w:szCs w:val="23"/>
          <w:lang w:eastAsia="ru-RU"/>
        </w:rPr>
        <w:t xml:space="preserve"> </w:t>
      </w:r>
      <w:r w:rsidRPr="005951D7">
        <w:rPr>
          <w:rFonts w:ascii="Verdana" w:eastAsia="Times New Roman" w:hAnsi="Verdana" w:cs="Times New Roman"/>
          <w:b/>
          <w:bCs/>
          <w:i/>
          <w:iCs/>
          <w:color w:val="333333"/>
          <w:sz w:val="23"/>
          <w:szCs w:val="23"/>
          <w:lang w:eastAsia="ru-RU"/>
        </w:rPr>
        <w:t>Канону поля</w:t>
      </w:r>
      <w:r w:rsidRPr="005951D7">
        <w:rPr>
          <w:rFonts w:ascii="Verdana" w:eastAsia="Times New Roman" w:hAnsi="Verdana" w:cs="Times New Roman"/>
          <w:color w:val="333333"/>
          <w:sz w:val="23"/>
          <w:szCs w:val="23"/>
          <w:lang w:eastAsia="ru-RU"/>
        </w:rPr>
        <w:t>, в системе присутствуют слои (волновые потоки, поля) различной плотности материи и соответствующей частоты, а значит, и уровня энергии. Многообразие этих энергетических уровней (частот, слоёв)</w:t>
      </w:r>
      <w:r w:rsidRPr="005951D7">
        <w:rPr>
          <w:rFonts w:ascii="Verdana" w:eastAsia="Times New Roman" w:hAnsi="Verdana" w:cs="Times New Roman"/>
          <w:i/>
          <w:iCs/>
          <w:color w:val="333333"/>
          <w:sz w:val="23"/>
          <w:szCs w:val="23"/>
          <w:lang w:eastAsia="ru-RU"/>
        </w:rPr>
        <w:t> комплементарно </w:t>
      </w:r>
      <w:r w:rsidRPr="005951D7">
        <w:rPr>
          <w:rFonts w:ascii="Verdana" w:eastAsia="Times New Roman" w:hAnsi="Verdana" w:cs="Times New Roman"/>
          <w:color w:val="333333"/>
          <w:sz w:val="23"/>
          <w:szCs w:val="23"/>
          <w:lang w:eastAsia="ru-RU"/>
        </w:rPr>
        <w:t>и уравновешено</w:t>
      </w:r>
      <w:r w:rsidRPr="005951D7">
        <w:rPr>
          <w:rFonts w:ascii="Verdana" w:eastAsia="Times New Roman" w:hAnsi="Verdana" w:cs="Times New Roman"/>
          <w:i/>
          <w:iCs/>
          <w:color w:val="333333"/>
          <w:sz w:val="23"/>
          <w:szCs w:val="23"/>
          <w:lang w:eastAsia="ru-RU"/>
        </w:rPr>
        <w:t>. </w:t>
      </w:r>
      <w:r w:rsidRPr="005951D7">
        <w:rPr>
          <w:rFonts w:ascii="Verdana" w:eastAsia="Times New Roman" w:hAnsi="Verdana" w:cs="Times New Roman"/>
          <w:color w:val="333333"/>
          <w:sz w:val="23"/>
          <w:szCs w:val="23"/>
          <w:lang w:eastAsia="ru-RU"/>
        </w:rPr>
        <w:t xml:space="preserve">Для энергетических уровней характерно наличие подуровней (фрактальность, </w:t>
      </w:r>
      <w:proofErr w:type="spellStart"/>
      <w:r w:rsidRPr="005951D7">
        <w:rPr>
          <w:rFonts w:ascii="Verdana" w:eastAsia="Times New Roman" w:hAnsi="Verdana" w:cs="Times New Roman"/>
          <w:color w:val="333333"/>
          <w:sz w:val="23"/>
          <w:szCs w:val="23"/>
          <w:lang w:eastAsia="ru-RU"/>
        </w:rPr>
        <w:t>кластерность</w:t>
      </w:r>
      <w:proofErr w:type="spellEnd"/>
      <w:r w:rsidRPr="005951D7">
        <w:rPr>
          <w:rFonts w:ascii="Verdana" w:eastAsia="Times New Roman" w:hAnsi="Verdana" w:cs="Times New Roman"/>
          <w:i/>
          <w:iCs/>
          <w:color w:val="333333"/>
          <w:sz w:val="23"/>
          <w:szCs w:val="23"/>
          <w:lang w:eastAsia="ru-RU"/>
        </w:rPr>
        <w:t>). </w:t>
      </w:r>
      <w:r w:rsidRPr="005951D7">
        <w:rPr>
          <w:rFonts w:ascii="Verdana" w:eastAsia="Times New Roman" w:hAnsi="Verdana" w:cs="Times New Roman"/>
          <w:color w:val="333333"/>
          <w:sz w:val="23"/>
          <w:szCs w:val="23"/>
          <w:lang w:eastAsia="ru-RU"/>
        </w:rPr>
        <w:t>Более высокочастотные компоненты обладают большей скоростью (частотой) энергообмена, а значит, и скоростью протекания процессов (эволюции).</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Вышеупомянутый</w:t>
      </w:r>
      <w:r w:rsidR="00EB55CF">
        <w:rPr>
          <w:rFonts w:ascii="Verdana" w:eastAsia="Times New Roman" w:hAnsi="Verdana" w:cs="Times New Roman"/>
          <w:color w:val="333333"/>
          <w:sz w:val="23"/>
          <w:szCs w:val="23"/>
          <w:lang w:eastAsia="ru-RU"/>
        </w:rPr>
        <w:t xml:space="preserve"> </w:t>
      </w:r>
      <w:r w:rsidRPr="005951D7">
        <w:rPr>
          <w:rFonts w:ascii="Verdana" w:eastAsia="Times New Roman" w:hAnsi="Verdana" w:cs="Times New Roman"/>
          <w:b/>
          <w:bCs/>
          <w:i/>
          <w:iCs/>
          <w:color w:val="333333"/>
          <w:sz w:val="23"/>
          <w:szCs w:val="23"/>
          <w:lang w:eastAsia="ru-RU"/>
        </w:rPr>
        <w:t>Канон целесообразности</w:t>
      </w:r>
      <w:r w:rsidR="00EB55CF">
        <w:rPr>
          <w:rFonts w:ascii="Verdana" w:eastAsia="Times New Roman" w:hAnsi="Verdana" w:cs="Times New Roman"/>
          <w:b/>
          <w:bCs/>
          <w:i/>
          <w:iCs/>
          <w:color w:val="333333"/>
          <w:sz w:val="23"/>
          <w:szCs w:val="23"/>
          <w:lang w:eastAsia="ru-RU"/>
        </w:rPr>
        <w:t xml:space="preserve"> </w:t>
      </w:r>
      <w:r w:rsidRPr="005951D7">
        <w:rPr>
          <w:rFonts w:ascii="Verdana" w:eastAsia="Times New Roman" w:hAnsi="Verdana" w:cs="Times New Roman"/>
          <w:color w:val="333333"/>
          <w:sz w:val="23"/>
          <w:szCs w:val="23"/>
          <w:lang w:eastAsia="ru-RU"/>
        </w:rPr>
        <w:t>содержит следующие положения:</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1) Всё подчинено принципу высшей (максимальной) целесообразности при выборе пути эволюции пространства (подразумевается системная, а не индивидуальная целесообразность).</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2)</w:t>
      </w:r>
      <w:r w:rsidR="00EB55CF">
        <w:rPr>
          <w:rFonts w:ascii="Verdana" w:eastAsia="Times New Roman" w:hAnsi="Verdana" w:cs="Times New Roman"/>
          <w:color w:val="333333"/>
          <w:sz w:val="23"/>
          <w:szCs w:val="23"/>
          <w:lang w:eastAsia="ru-RU"/>
        </w:rPr>
        <w:t xml:space="preserve"> </w:t>
      </w:r>
      <w:r w:rsidRPr="005951D7">
        <w:rPr>
          <w:rFonts w:ascii="Verdana" w:eastAsia="Times New Roman" w:hAnsi="Verdana" w:cs="Times New Roman"/>
          <w:color w:val="333333"/>
          <w:sz w:val="23"/>
          <w:szCs w:val="23"/>
          <w:lang w:eastAsia="ru-RU"/>
        </w:rPr>
        <w:t>Принцип высшей целесообразности определяет эволюцию, движение к нейтральности через системные каноны Космоса как комплекс, обеспечивающий наибольшую энергетическую экономичность и эффективность.</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3) Система имеет свою целесообразность, как причину, цель или предназначение. Единое целеполагание в системе является важным системообразующим фактором.</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 xml:space="preserve">Для более полного и более правильного понимания необходимо обратиться к первоисточнику. Здесь не описана вся система Канонов, опущены Каноны причинности, </w:t>
      </w:r>
      <w:proofErr w:type="spellStart"/>
      <w:r w:rsidRPr="005951D7">
        <w:rPr>
          <w:rFonts w:ascii="Verdana" w:eastAsia="Times New Roman" w:hAnsi="Verdana" w:cs="Times New Roman"/>
          <w:color w:val="333333"/>
          <w:sz w:val="23"/>
          <w:szCs w:val="23"/>
          <w:lang w:eastAsia="ru-RU"/>
        </w:rPr>
        <w:t>дисимметрии</w:t>
      </w:r>
      <w:proofErr w:type="spellEnd"/>
      <w:r w:rsidRPr="005951D7">
        <w:rPr>
          <w:rFonts w:ascii="Verdana" w:eastAsia="Times New Roman" w:hAnsi="Verdana" w:cs="Times New Roman"/>
          <w:color w:val="333333"/>
          <w:sz w:val="23"/>
          <w:szCs w:val="23"/>
          <w:lang w:eastAsia="ru-RU"/>
        </w:rPr>
        <w:t xml:space="preserve"> и другие.</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lastRenderedPageBreak/>
        <w:t>А теперь посмотрим соответствие между системными канонами Космоса и правилами теории решения изобретательских задач.</w:t>
      </w:r>
    </w:p>
    <w:p w:rsidR="005951D7" w:rsidRDefault="005951D7" w:rsidP="00EB55CF">
      <w:pPr>
        <w:spacing w:after="390" w:line="240" w:lineRule="auto"/>
        <w:ind w:firstLine="284"/>
        <w:jc w:val="both"/>
        <w:rPr>
          <w:rFonts w:ascii="Verdana" w:eastAsia="Times New Roman" w:hAnsi="Verdana" w:cs="Times New Roman"/>
          <w:b/>
          <w:bCs/>
          <w:color w:val="333333"/>
          <w:sz w:val="23"/>
          <w:szCs w:val="23"/>
          <w:lang w:eastAsia="ru-RU"/>
        </w:rPr>
      </w:pPr>
      <w:r w:rsidRPr="005951D7">
        <w:rPr>
          <w:rFonts w:ascii="Verdana" w:eastAsia="Times New Roman" w:hAnsi="Verdana" w:cs="Times New Roman"/>
          <w:b/>
          <w:bCs/>
          <w:color w:val="333333"/>
          <w:sz w:val="23"/>
          <w:szCs w:val="23"/>
          <w:lang w:eastAsia="ru-RU"/>
        </w:rPr>
        <w:t>Соответствие между правилами ТРИЗ и системными канонами Космоса</w:t>
      </w:r>
    </w:p>
    <w:tbl>
      <w:tblPr>
        <w:tblW w:w="10264" w:type="dxa"/>
        <w:jc w:val="center"/>
        <w:tblBorders>
          <w:top w:val="single" w:sz="6" w:space="0" w:color="696969"/>
          <w:left w:val="single" w:sz="6" w:space="0" w:color="696969"/>
          <w:bottom w:val="single" w:sz="6" w:space="0" w:color="696969"/>
          <w:right w:val="single" w:sz="6" w:space="0" w:color="696969"/>
        </w:tblBorders>
        <w:shd w:val="clear" w:color="auto" w:fill="FFFFFF"/>
        <w:tblLayout w:type="fixed"/>
        <w:tblCellMar>
          <w:top w:w="15" w:type="dxa"/>
          <w:left w:w="15" w:type="dxa"/>
          <w:bottom w:w="15" w:type="dxa"/>
          <w:right w:w="15" w:type="dxa"/>
        </w:tblCellMar>
        <w:tblLook w:val="04A0"/>
      </w:tblPr>
      <w:tblGrid>
        <w:gridCol w:w="6513"/>
        <w:gridCol w:w="3751"/>
      </w:tblGrid>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Закономерность ТРИЗ</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Вечности</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Стремление к идеальному объекту</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целесообразности</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Высвобождение энергии и ресурсов (свертывание),</w:t>
            </w:r>
          </w:p>
          <w:p w:rsidR="007F7689" w:rsidRPr="007F7689" w:rsidRDefault="007F7689" w:rsidP="00EB55CF">
            <w:pPr>
              <w:ind w:firstLine="284"/>
              <w:jc w:val="both"/>
              <w:rPr>
                <w:rFonts w:ascii="Verdana" w:hAnsi="Verdana"/>
              </w:rPr>
            </w:pPr>
            <w:r w:rsidRPr="007F7689">
              <w:rPr>
                <w:rFonts w:ascii="Verdana" w:hAnsi="Verdana"/>
              </w:rPr>
              <w:t>Цикличность эволюции</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нейтральности</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Формулирование физического противоречия,</w:t>
            </w:r>
          </w:p>
          <w:p w:rsidR="007F7689" w:rsidRPr="007F7689" w:rsidRDefault="007F7689" w:rsidP="00EB55CF">
            <w:pPr>
              <w:ind w:firstLine="284"/>
              <w:jc w:val="both"/>
              <w:rPr>
                <w:rFonts w:ascii="Verdana" w:hAnsi="Verdana"/>
              </w:rPr>
            </w:pPr>
            <w:r w:rsidRPr="007F7689">
              <w:rPr>
                <w:rFonts w:ascii="Verdana" w:hAnsi="Verdana"/>
              </w:rPr>
              <w:t>Решение противоречий должно осуществляться, опираясь на знания законов развития систем.</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единства и борьбы противоположностей</w:t>
            </w:r>
          </w:p>
          <w:p w:rsidR="007F7689" w:rsidRPr="007F7689" w:rsidRDefault="007F7689" w:rsidP="00EB55CF">
            <w:pPr>
              <w:ind w:firstLine="284"/>
              <w:jc w:val="both"/>
              <w:rPr>
                <w:rFonts w:ascii="Verdana" w:hAnsi="Verdana"/>
              </w:rPr>
            </w:pPr>
            <w:r w:rsidRPr="007F7689">
              <w:rPr>
                <w:rFonts w:ascii="Verdana" w:hAnsi="Verdana"/>
              </w:rPr>
              <w:t>Канон целесообразности</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Сквозной проход энергии через систему, управляемость, </w:t>
            </w:r>
          </w:p>
          <w:p w:rsidR="007F7689" w:rsidRPr="007F7689" w:rsidRDefault="007F7689" w:rsidP="00EB55CF">
            <w:pPr>
              <w:ind w:firstLine="284"/>
              <w:jc w:val="both"/>
              <w:rPr>
                <w:rFonts w:ascii="Verdana" w:hAnsi="Verdana"/>
              </w:rPr>
            </w:pPr>
            <w:r w:rsidRPr="007F7689">
              <w:rPr>
                <w:rFonts w:ascii="Verdana" w:hAnsi="Verdana"/>
              </w:rPr>
              <w:t>Согласование частот внутренних колебаний (действий) элементов</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энергообмена</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proofErr w:type="spellStart"/>
            <w:r w:rsidRPr="007F7689">
              <w:rPr>
                <w:rFonts w:ascii="Verdana" w:hAnsi="Verdana"/>
              </w:rPr>
              <w:t>Б</w:t>
            </w:r>
            <w:proofErr w:type="gramStart"/>
            <w:r w:rsidRPr="007F7689">
              <w:rPr>
                <w:rFonts w:ascii="Verdana" w:hAnsi="Verdana"/>
              </w:rPr>
              <w:t>и</w:t>
            </w:r>
            <w:proofErr w:type="spellEnd"/>
            <w:r w:rsidRPr="007F7689">
              <w:rPr>
                <w:rFonts w:ascii="Verdana" w:hAnsi="Verdana"/>
              </w:rPr>
              <w:t>-</w:t>
            </w:r>
            <w:proofErr w:type="gramEnd"/>
            <w:r w:rsidRPr="007F7689">
              <w:rPr>
                <w:rFonts w:ascii="Verdana" w:hAnsi="Verdana"/>
              </w:rPr>
              <w:t xml:space="preserve"> и </w:t>
            </w:r>
            <w:proofErr w:type="spellStart"/>
            <w:r w:rsidRPr="007F7689">
              <w:rPr>
                <w:rFonts w:ascii="Verdana" w:hAnsi="Verdana"/>
              </w:rPr>
              <w:t>полисистемы</w:t>
            </w:r>
            <w:proofErr w:type="spellEnd"/>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Фрактальное подобие</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proofErr w:type="spellStart"/>
            <w:r w:rsidRPr="007F7689">
              <w:rPr>
                <w:rFonts w:ascii="Verdana" w:hAnsi="Verdana"/>
              </w:rPr>
              <w:t>Б</w:t>
            </w:r>
            <w:proofErr w:type="gramStart"/>
            <w:r w:rsidRPr="007F7689">
              <w:rPr>
                <w:rFonts w:ascii="Verdana" w:hAnsi="Verdana"/>
              </w:rPr>
              <w:t>и</w:t>
            </w:r>
            <w:proofErr w:type="spellEnd"/>
            <w:r w:rsidRPr="007F7689">
              <w:rPr>
                <w:rFonts w:ascii="Verdana" w:hAnsi="Verdana"/>
              </w:rPr>
              <w:t>-</w:t>
            </w:r>
            <w:proofErr w:type="gramEnd"/>
            <w:r w:rsidRPr="007F7689">
              <w:rPr>
                <w:rFonts w:ascii="Verdana" w:hAnsi="Verdana"/>
              </w:rPr>
              <w:t xml:space="preserve"> и </w:t>
            </w:r>
            <w:proofErr w:type="spellStart"/>
            <w:r w:rsidRPr="007F7689">
              <w:rPr>
                <w:rFonts w:ascii="Verdana" w:hAnsi="Verdana"/>
              </w:rPr>
              <w:t>полисистемы</w:t>
            </w:r>
            <w:proofErr w:type="spellEnd"/>
            <w:r w:rsidRPr="007F7689">
              <w:rPr>
                <w:rFonts w:ascii="Verdana" w:hAnsi="Verdana"/>
              </w:rPr>
              <w:t> со сдвинутыми и инверсными</w:t>
            </w:r>
            <w:r>
              <w:rPr>
                <w:rFonts w:ascii="Verdana" w:hAnsi="Verdana"/>
              </w:rPr>
              <w:t xml:space="preserve"> </w:t>
            </w:r>
            <w:r w:rsidRPr="007F7689">
              <w:rPr>
                <w:rFonts w:ascii="Verdana" w:hAnsi="Verdana"/>
              </w:rPr>
              <w:t>характеристиками</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 xml:space="preserve">Канон </w:t>
            </w:r>
            <w:proofErr w:type="spellStart"/>
            <w:r w:rsidRPr="007F7689">
              <w:rPr>
                <w:rFonts w:ascii="Verdana" w:hAnsi="Verdana"/>
              </w:rPr>
              <w:t>комплементарности</w:t>
            </w:r>
            <w:proofErr w:type="spellEnd"/>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Повышение гибкости и динамичности</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proofErr w:type="spellStart"/>
            <w:r w:rsidRPr="007F7689">
              <w:rPr>
                <w:rFonts w:ascii="Verdana" w:hAnsi="Verdana"/>
              </w:rPr>
              <w:t>Кластерность</w:t>
            </w:r>
            <w:proofErr w:type="spellEnd"/>
          </w:p>
          <w:p w:rsidR="007F7689" w:rsidRPr="007F7689" w:rsidRDefault="007F7689" w:rsidP="00EB55CF">
            <w:pPr>
              <w:ind w:firstLine="284"/>
              <w:jc w:val="both"/>
              <w:rPr>
                <w:rFonts w:ascii="Verdana" w:hAnsi="Verdana"/>
              </w:rPr>
            </w:pPr>
            <w:proofErr w:type="spellStart"/>
            <w:r w:rsidRPr="007F7689">
              <w:rPr>
                <w:rFonts w:ascii="Verdana" w:hAnsi="Verdana"/>
              </w:rPr>
              <w:t>Комплементарность</w:t>
            </w:r>
            <w:proofErr w:type="spellEnd"/>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Увеличение дисперсности рабочих органов</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proofErr w:type="spellStart"/>
            <w:r w:rsidRPr="007F7689">
              <w:rPr>
                <w:rFonts w:ascii="Verdana" w:hAnsi="Verdana"/>
              </w:rPr>
              <w:t>Кластерность</w:t>
            </w:r>
            <w:proofErr w:type="spellEnd"/>
          </w:p>
          <w:p w:rsidR="007F7689" w:rsidRPr="007F7689" w:rsidRDefault="007F7689" w:rsidP="00EB55CF">
            <w:pPr>
              <w:ind w:firstLine="284"/>
              <w:jc w:val="both"/>
              <w:rPr>
                <w:rFonts w:ascii="Verdana" w:hAnsi="Verdana"/>
              </w:rPr>
            </w:pPr>
            <w:proofErr w:type="spellStart"/>
            <w:r w:rsidRPr="007F7689">
              <w:rPr>
                <w:rFonts w:ascii="Verdana" w:hAnsi="Verdana"/>
              </w:rPr>
              <w:t>Комплементарность</w:t>
            </w:r>
            <w:proofErr w:type="spellEnd"/>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Управляемость, «</w:t>
            </w:r>
            <w:proofErr w:type="spellStart"/>
            <w:r w:rsidRPr="007F7689">
              <w:rPr>
                <w:rFonts w:ascii="Verdana" w:hAnsi="Verdana"/>
              </w:rPr>
              <w:t>вепольность</w:t>
            </w:r>
            <w:proofErr w:type="spellEnd"/>
            <w:r w:rsidRPr="007F7689">
              <w:rPr>
                <w:rFonts w:ascii="Verdana" w:hAnsi="Verdana"/>
              </w:rPr>
              <w:t>»</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поля</w:t>
            </w:r>
          </w:p>
        </w:tc>
      </w:tr>
      <w:tr w:rsidR="007F7689" w:rsidRPr="007F7689" w:rsidTr="007F7689">
        <w:trPr>
          <w:jc w:val="center"/>
        </w:trPr>
        <w:tc>
          <w:tcPr>
            <w:tcW w:w="6513"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Прекращение эволюции по вышеуказанным «правилам» приводит к конфликту с окружающей средой</w:t>
            </w:r>
          </w:p>
        </w:tc>
        <w:tc>
          <w:tcPr>
            <w:tcW w:w="3751"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rsidR="007F7689" w:rsidRPr="007F7689" w:rsidRDefault="007F7689" w:rsidP="00EB55CF">
            <w:pPr>
              <w:ind w:firstLine="284"/>
              <w:jc w:val="both"/>
              <w:rPr>
                <w:rFonts w:ascii="Verdana" w:hAnsi="Verdana"/>
              </w:rPr>
            </w:pPr>
            <w:r w:rsidRPr="007F7689">
              <w:rPr>
                <w:rFonts w:ascii="Verdana" w:hAnsi="Verdana"/>
              </w:rPr>
              <w:t>Канон покоя вечного движения (постоянство процесса эволюции)</w:t>
            </w:r>
          </w:p>
        </w:tc>
      </w:tr>
    </w:tbl>
    <w:p w:rsidR="007F7689" w:rsidRPr="005951D7" w:rsidRDefault="007F7689" w:rsidP="00EB55CF">
      <w:pPr>
        <w:spacing w:after="390" w:line="240" w:lineRule="auto"/>
        <w:ind w:firstLine="284"/>
        <w:jc w:val="both"/>
        <w:rPr>
          <w:rFonts w:ascii="Verdana" w:eastAsia="Times New Roman" w:hAnsi="Verdana" w:cs="Times New Roman"/>
          <w:color w:val="333333"/>
          <w:sz w:val="23"/>
          <w:szCs w:val="23"/>
          <w:lang w:eastAsia="ru-RU"/>
        </w:rPr>
      </w:pPr>
      <w:bookmarkStart w:id="0" w:name="_GoBack"/>
      <w:bookmarkEnd w:id="0"/>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 </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В результате проведенного сравнения отчетливо видно, что оба источника говорят об одних и тех же процессах при совершенствовании как технических, так и биологических систем. Закономерность объединения систем по линии</w:t>
      </w:r>
      <w:r w:rsidR="00EB55CF">
        <w:rPr>
          <w:rFonts w:ascii="Verdana" w:eastAsia="Times New Roman" w:hAnsi="Verdana" w:cs="Times New Roman"/>
          <w:color w:val="333333"/>
          <w:sz w:val="23"/>
          <w:szCs w:val="23"/>
          <w:lang w:eastAsia="ru-RU"/>
        </w:rPr>
        <w:t xml:space="preserve"> </w:t>
      </w:r>
      <w:r w:rsidRPr="005951D7">
        <w:rPr>
          <w:rFonts w:ascii="Verdana" w:eastAsia="Times New Roman" w:hAnsi="Verdana" w:cs="Times New Roman"/>
          <w:b/>
          <w:bCs/>
          <w:color w:val="333333"/>
          <w:sz w:val="23"/>
          <w:szCs w:val="23"/>
          <w:lang w:eastAsia="ru-RU"/>
        </w:rPr>
        <w:t>«</w:t>
      </w:r>
      <w:proofErr w:type="spellStart"/>
      <w:r w:rsidRPr="005951D7">
        <w:rPr>
          <w:rFonts w:ascii="Verdana" w:eastAsia="Times New Roman" w:hAnsi="Verdana" w:cs="Times New Roman"/>
          <w:b/>
          <w:bCs/>
          <w:color w:val="333333"/>
          <w:sz w:val="23"/>
          <w:szCs w:val="23"/>
          <w:lang w:eastAsia="ru-RU"/>
        </w:rPr>
        <w:t>моно-би-поли</w:t>
      </w:r>
      <w:proofErr w:type="spellEnd"/>
      <w:r w:rsidRPr="005951D7">
        <w:rPr>
          <w:rFonts w:ascii="Verdana" w:eastAsia="Times New Roman" w:hAnsi="Verdana" w:cs="Times New Roman"/>
          <w:b/>
          <w:bCs/>
          <w:color w:val="333333"/>
          <w:sz w:val="23"/>
          <w:szCs w:val="23"/>
          <w:lang w:eastAsia="ru-RU"/>
        </w:rPr>
        <w:t>»</w:t>
      </w:r>
      <w:r w:rsidR="00EB55CF">
        <w:rPr>
          <w:rFonts w:ascii="Verdana" w:eastAsia="Times New Roman" w:hAnsi="Verdana" w:cs="Times New Roman"/>
          <w:b/>
          <w:bCs/>
          <w:color w:val="333333"/>
          <w:sz w:val="23"/>
          <w:szCs w:val="23"/>
          <w:lang w:eastAsia="ru-RU"/>
        </w:rPr>
        <w:t xml:space="preserve"> </w:t>
      </w:r>
      <w:r w:rsidRPr="005951D7">
        <w:rPr>
          <w:rFonts w:ascii="Verdana" w:eastAsia="Times New Roman" w:hAnsi="Verdana" w:cs="Times New Roman"/>
          <w:color w:val="333333"/>
          <w:sz w:val="23"/>
          <w:szCs w:val="23"/>
          <w:lang w:eastAsia="ru-RU"/>
        </w:rPr>
        <w:t xml:space="preserve">соответствует фрактальной структуре мироздания, где человек, как «клетка единого человечества», имеет свое </w:t>
      </w:r>
      <w:r w:rsidRPr="005951D7">
        <w:rPr>
          <w:rFonts w:ascii="Verdana" w:eastAsia="Times New Roman" w:hAnsi="Verdana" w:cs="Times New Roman"/>
          <w:color w:val="333333"/>
          <w:sz w:val="23"/>
          <w:szCs w:val="23"/>
          <w:lang w:eastAsia="ru-RU"/>
        </w:rPr>
        <w:lastRenderedPageBreak/>
        <w:t>место в общей схеме</w:t>
      </w:r>
      <w:r w:rsidR="00EB55CF">
        <w:rPr>
          <w:rFonts w:ascii="Verdana" w:eastAsia="Times New Roman" w:hAnsi="Verdana" w:cs="Times New Roman"/>
          <w:color w:val="333333"/>
          <w:sz w:val="23"/>
          <w:szCs w:val="23"/>
          <w:lang w:eastAsia="ru-RU"/>
        </w:rPr>
        <w:t xml:space="preserve"> </w:t>
      </w:r>
      <w:r w:rsidRPr="005951D7">
        <w:rPr>
          <w:rFonts w:ascii="Verdana" w:eastAsia="Times New Roman" w:hAnsi="Verdana" w:cs="Times New Roman"/>
          <w:b/>
          <w:bCs/>
          <w:color w:val="333333"/>
          <w:sz w:val="23"/>
          <w:szCs w:val="23"/>
          <w:lang w:eastAsia="ru-RU"/>
        </w:rPr>
        <w:t>«клетка &gt; человек &gt; человечество &gt; Вселенная &gt; Высший Космический Разум»</w:t>
      </w:r>
      <w:r w:rsidRPr="005951D7">
        <w:rPr>
          <w:rFonts w:ascii="Verdana" w:eastAsia="Times New Roman" w:hAnsi="Verdana" w:cs="Times New Roman"/>
          <w:color w:val="333333"/>
          <w:sz w:val="23"/>
          <w:szCs w:val="23"/>
          <w:lang w:eastAsia="ru-RU"/>
        </w:rPr>
        <w:t>.</w:t>
      </w:r>
    </w:p>
    <w:p w:rsidR="005951D7" w:rsidRPr="005951D7" w:rsidRDefault="005951D7" w:rsidP="00EB55CF">
      <w:pPr>
        <w:spacing w:after="390" w:line="240" w:lineRule="auto"/>
        <w:ind w:firstLine="284"/>
        <w:jc w:val="both"/>
        <w:rPr>
          <w:rFonts w:ascii="Verdana" w:eastAsia="Times New Roman" w:hAnsi="Verdana" w:cs="Times New Roman"/>
          <w:color w:val="333333"/>
          <w:sz w:val="23"/>
          <w:szCs w:val="23"/>
          <w:lang w:eastAsia="ru-RU"/>
        </w:rPr>
      </w:pPr>
      <w:r w:rsidRPr="005951D7">
        <w:rPr>
          <w:rFonts w:ascii="Verdana" w:eastAsia="Times New Roman" w:hAnsi="Verdana" w:cs="Times New Roman"/>
          <w:color w:val="333333"/>
          <w:sz w:val="23"/>
          <w:szCs w:val="23"/>
          <w:lang w:eastAsia="ru-RU"/>
        </w:rPr>
        <w:t>Следует отметить, что причина обнаруженного соответствия между правилами ТРИЗ и канонами Космоса состоит не в особенностях психологии человека, а в объективных законах мироздания.</w:t>
      </w:r>
    </w:p>
    <w:p w:rsidR="0090628E" w:rsidRDefault="0090628E" w:rsidP="00EB55CF">
      <w:pPr>
        <w:ind w:firstLine="284"/>
        <w:jc w:val="both"/>
      </w:pPr>
    </w:p>
    <w:sectPr w:rsidR="0090628E" w:rsidSect="000F1331">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F01" w:rsidRDefault="00610F01" w:rsidP="00BB0914">
      <w:pPr>
        <w:spacing w:after="0" w:line="240" w:lineRule="auto"/>
      </w:pPr>
      <w:r>
        <w:separator/>
      </w:r>
    </w:p>
  </w:endnote>
  <w:endnote w:type="continuationSeparator" w:id="0">
    <w:p w:rsidR="00610F01" w:rsidRDefault="00610F01" w:rsidP="00BB09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7273"/>
      <w:docPartObj>
        <w:docPartGallery w:val="Page Numbers (Bottom of Page)"/>
        <w:docPartUnique/>
      </w:docPartObj>
    </w:sdtPr>
    <w:sdtContent>
      <w:p w:rsidR="00BB0914" w:rsidRDefault="00BB0914">
        <w:pPr>
          <w:pStyle w:val="a9"/>
          <w:jc w:val="right"/>
        </w:pPr>
        <w:fldSimple w:instr=" PAGE   \* MERGEFORMAT ">
          <w:r>
            <w:rPr>
              <w:noProof/>
            </w:rPr>
            <w:t>4</w:t>
          </w:r>
        </w:fldSimple>
      </w:p>
    </w:sdtContent>
  </w:sdt>
  <w:p w:rsidR="00BB0914" w:rsidRDefault="00BB091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F01" w:rsidRDefault="00610F01" w:rsidP="00BB0914">
      <w:pPr>
        <w:spacing w:after="0" w:line="240" w:lineRule="auto"/>
      </w:pPr>
      <w:r>
        <w:separator/>
      </w:r>
    </w:p>
  </w:footnote>
  <w:footnote w:type="continuationSeparator" w:id="0">
    <w:p w:rsidR="00610F01" w:rsidRDefault="00610F01" w:rsidP="00BB09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951D7"/>
    <w:rsid w:val="000F1331"/>
    <w:rsid w:val="005951D7"/>
    <w:rsid w:val="00610F01"/>
    <w:rsid w:val="007F7689"/>
    <w:rsid w:val="0090628E"/>
    <w:rsid w:val="00BB0914"/>
    <w:rsid w:val="00D34D58"/>
    <w:rsid w:val="00EB5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331"/>
  </w:style>
  <w:style w:type="paragraph" w:styleId="1">
    <w:name w:val="heading 1"/>
    <w:basedOn w:val="a"/>
    <w:link w:val="10"/>
    <w:uiPriority w:val="9"/>
    <w:qFormat/>
    <w:rsid w:val="005951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51D7"/>
    <w:rPr>
      <w:rFonts w:ascii="Times New Roman" w:eastAsia="Times New Roman" w:hAnsi="Times New Roman" w:cs="Times New Roman"/>
      <w:b/>
      <w:bCs/>
      <w:kern w:val="36"/>
      <w:sz w:val="48"/>
      <w:szCs w:val="48"/>
      <w:lang w:eastAsia="ru-RU"/>
    </w:rPr>
  </w:style>
  <w:style w:type="character" w:customStyle="1" w:styleId="td-post-date">
    <w:name w:val="td-post-date"/>
    <w:basedOn w:val="a0"/>
    <w:rsid w:val="005951D7"/>
  </w:style>
  <w:style w:type="character" w:styleId="a3">
    <w:name w:val="Hyperlink"/>
    <w:basedOn w:val="a0"/>
    <w:uiPriority w:val="99"/>
    <w:semiHidden/>
    <w:unhideWhenUsed/>
    <w:rsid w:val="005951D7"/>
    <w:rPr>
      <w:color w:val="0000FF"/>
      <w:u w:val="single"/>
    </w:rPr>
  </w:style>
  <w:style w:type="character" w:customStyle="1" w:styleId="td-nr-views-31141">
    <w:name w:val="td-nr-views-31141"/>
    <w:basedOn w:val="a0"/>
    <w:rsid w:val="005951D7"/>
  </w:style>
  <w:style w:type="character" w:styleId="a4">
    <w:name w:val="Emphasis"/>
    <w:basedOn w:val="a0"/>
    <w:uiPriority w:val="20"/>
    <w:qFormat/>
    <w:rsid w:val="005951D7"/>
    <w:rPr>
      <w:i/>
      <w:iCs/>
    </w:rPr>
  </w:style>
  <w:style w:type="character" w:styleId="a5">
    <w:name w:val="Strong"/>
    <w:basedOn w:val="a0"/>
    <w:uiPriority w:val="22"/>
    <w:qFormat/>
    <w:rsid w:val="005951D7"/>
    <w:rPr>
      <w:b/>
      <w:bCs/>
    </w:rPr>
  </w:style>
  <w:style w:type="paragraph" w:styleId="a6">
    <w:name w:val="Normal (Web)"/>
    <w:basedOn w:val="a"/>
    <w:uiPriority w:val="99"/>
    <w:semiHidden/>
    <w:unhideWhenUsed/>
    <w:rsid w:val="005951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BB091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B0914"/>
  </w:style>
  <w:style w:type="paragraph" w:styleId="a9">
    <w:name w:val="footer"/>
    <w:basedOn w:val="a"/>
    <w:link w:val="aa"/>
    <w:uiPriority w:val="99"/>
    <w:unhideWhenUsed/>
    <w:rsid w:val="00BB091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B0914"/>
  </w:style>
</w:styles>
</file>

<file path=word/webSettings.xml><?xml version="1.0" encoding="utf-8"?>
<w:webSettings xmlns:r="http://schemas.openxmlformats.org/officeDocument/2006/relationships" xmlns:w="http://schemas.openxmlformats.org/wordprocessingml/2006/main">
  <w:divs>
    <w:div w:id="850752833">
      <w:bodyDiv w:val="1"/>
      <w:marLeft w:val="0"/>
      <w:marRight w:val="0"/>
      <w:marTop w:val="0"/>
      <w:marBottom w:val="0"/>
      <w:divBdr>
        <w:top w:val="none" w:sz="0" w:space="0" w:color="auto"/>
        <w:left w:val="none" w:sz="0" w:space="0" w:color="auto"/>
        <w:bottom w:val="none" w:sz="0" w:space="0" w:color="auto"/>
        <w:right w:val="none" w:sz="0" w:space="0" w:color="auto"/>
      </w:divBdr>
    </w:div>
    <w:div w:id="2001426262">
      <w:bodyDiv w:val="1"/>
      <w:marLeft w:val="0"/>
      <w:marRight w:val="0"/>
      <w:marTop w:val="0"/>
      <w:marBottom w:val="0"/>
      <w:divBdr>
        <w:top w:val="none" w:sz="0" w:space="0" w:color="auto"/>
        <w:left w:val="none" w:sz="0" w:space="0" w:color="auto"/>
        <w:bottom w:val="none" w:sz="0" w:space="0" w:color="auto"/>
        <w:right w:val="none" w:sz="0" w:space="0" w:color="auto"/>
      </w:divBdr>
      <w:divsChild>
        <w:div w:id="1117604710">
          <w:marLeft w:val="0"/>
          <w:marRight w:val="0"/>
          <w:marTop w:val="0"/>
          <w:marBottom w:val="0"/>
          <w:divBdr>
            <w:top w:val="none" w:sz="0" w:space="0" w:color="auto"/>
            <w:left w:val="none" w:sz="0" w:space="0" w:color="auto"/>
            <w:bottom w:val="none" w:sz="0" w:space="0" w:color="auto"/>
            <w:right w:val="none" w:sz="0" w:space="0" w:color="auto"/>
          </w:divBdr>
          <w:divsChild>
            <w:div w:id="2012944734">
              <w:marLeft w:val="0"/>
              <w:marRight w:val="0"/>
              <w:marTop w:val="0"/>
              <w:marBottom w:val="240"/>
              <w:divBdr>
                <w:top w:val="none" w:sz="0" w:space="0" w:color="auto"/>
                <w:left w:val="none" w:sz="0" w:space="0" w:color="auto"/>
                <w:bottom w:val="none" w:sz="0" w:space="0" w:color="auto"/>
                <w:right w:val="none" w:sz="0" w:space="0" w:color="auto"/>
              </w:divBdr>
              <w:divsChild>
                <w:div w:id="1057433300">
                  <w:marLeft w:val="330"/>
                  <w:marRight w:val="0"/>
                  <w:marTop w:val="0"/>
                  <w:marBottom w:val="0"/>
                  <w:divBdr>
                    <w:top w:val="none" w:sz="0" w:space="0" w:color="auto"/>
                    <w:left w:val="none" w:sz="0" w:space="0" w:color="auto"/>
                    <w:bottom w:val="none" w:sz="0" w:space="0" w:color="auto"/>
                    <w:right w:val="none" w:sz="0" w:space="0" w:color="auto"/>
                  </w:divBdr>
                </w:div>
                <w:div w:id="88402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0674">
          <w:marLeft w:val="0"/>
          <w:marRight w:val="0"/>
          <w:marTop w:val="3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928</Words>
  <Characters>5293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 Валентин Николаевич</dc:creator>
  <cp:keywords/>
  <dc:description/>
  <cp:lastModifiedBy>Admin</cp:lastModifiedBy>
  <cp:revision>4</cp:revision>
  <dcterms:created xsi:type="dcterms:W3CDTF">2020-11-10T05:44:00Z</dcterms:created>
  <dcterms:modified xsi:type="dcterms:W3CDTF">2021-06-18T03:23:00Z</dcterms:modified>
</cp:coreProperties>
</file>